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F" w:rsidRDefault="005800FF" w:rsidP="005800FF">
      <w:pPr>
        <w:tabs>
          <w:tab w:val="center" w:pos="4875"/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00FF" w:rsidRDefault="005800FF" w:rsidP="005800FF">
      <w:pPr>
        <w:tabs>
          <w:tab w:val="left" w:pos="84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1DE1" w:rsidRDefault="002F0551" w:rsidP="005800FF">
      <w:pPr>
        <w:tabs>
          <w:tab w:val="center" w:pos="4875"/>
          <w:tab w:val="left" w:pos="849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="00D51DE1">
        <w:rPr>
          <w:sz w:val="28"/>
          <w:szCs w:val="28"/>
        </w:rPr>
        <w:t>РОССИЙСКАЯ ФЕДЕРАЦИЯ</w:t>
      </w:r>
      <w:r w:rsidR="005800FF">
        <w:rPr>
          <w:sz w:val="28"/>
          <w:szCs w:val="28"/>
        </w:rPr>
        <w:tab/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505B03">
        <w:rPr>
          <w:sz w:val="28"/>
          <w:szCs w:val="28"/>
        </w:rPr>
        <w:t>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E203BA" w:rsidP="00BB3796">
      <w:pPr>
        <w:pStyle w:val="a3"/>
        <w:tabs>
          <w:tab w:val="left" w:pos="708"/>
        </w:tabs>
      </w:pPr>
      <w:r>
        <w:t>«</w:t>
      </w:r>
      <w:r w:rsidR="00D61088">
        <w:t>09</w:t>
      </w:r>
      <w:r>
        <w:t xml:space="preserve">» </w:t>
      </w:r>
      <w:r w:rsidR="00D61088">
        <w:t>февраля</w:t>
      </w:r>
      <w:r w:rsidR="00D51DE1" w:rsidRPr="00E203BA">
        <w:t>20</w:t>
      </w:r>
      <w:r w:rsidR="0035304A" w:rsidRPr="00E203BA">
        <w:t>2</w:t>
      </w:r>
      <w:r w:rsidR="0062600E">
        <w:t>2</w:t>
      </w:r>
      <w:r w:rsidR="00D51DE1" w:rsidRPr="00E203BA">
        <w:t>г</w:t>
      </w:r>
      <w:r w:rsidR="00A47C8E" w:rsidRPr="00E203BA">
        <w:t>ода</w:t>
      </w:r>
      <w:r w:rsidR="002F0551">
        <w:t xml:space="preserve">                                </w:t>
      </w:r>
      <w:r w:rsidR="00D51DE1" w:rsidRPr="00C7419E">
        <w:t xml:space="preserve">№ </w:t>
      </w:r>
      <w:r w:rsidR="00D61088">
        <w:t>20</w:t>
      </w:r>
      <w:r w:rsidR="002F0551">
        <w:t xml:space="preserve">                       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1B15EA" w:rsidRDefault="001B15EA" w:rsidP="006D3D57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E44ED" w:rsidRPr="006D3D57" w:rsidRDefault="000E44ED" w:rsidP="000E44ED">
      <w:pPr>
        <w:tabs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0E44ED">
        <w:rPr>
          <w:sz w:val="28"/>
          <w:szCs w:val="28"/>
        </w:rPr>
        <w:t xml:space="preserve">О внесении изменений в постановление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правонарушений»» </w:t>
      </w:r>
      <w:r>
        <w:rPr>
          <w:sz w:val="28"/>
          <w:szCs w:val="28"/>
        </w:rPr>
        <w:t xml:space="preserve">(пред. изменения от </w:t>
      </w:r>
      <w:r w:rsidR="0062600E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62600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62600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62600E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Pr="006D3D57">
        <w:rPr>
          <w:sz w:val="28"/>
          <w:szCs w:val="28"/>
          <w:lang w:eastAsia="ru-RU"/>
        </w:rPr>
        <w:t>.</w:t>
      </w:r>
    </w:p>
    <w:p w:rsidR="000E44ED" w:rsidRPr="000E44ED" w:rsidRDefault="000E44ED" w:rsidP="000E44ED">
      <w:pPr>
        <w:widowControl w:val="0"/>
        <w:rPr>
          <w:sz w:val="28"/>
          <w:szCs w:val="28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jc w:val="both"/>
        <w:rPr>
          <w:sz w:val="28"/>
          <w:szCs w:val="28"/>
        </w:rPr>
      </w:pPr>
    </w:p>
    <w:p w:rsidR="000E44ED" w:rsidRPr="000E44ED" w:rsidRDefault="000E44ED" w:rsidP="000E44ED">
      <w:pPr>
        <w:tabs>
          <w:tab w:val="left" w:pos="709"/>
        </w:tabs>
        <w:suppressAutoHyphens w:val="0"/>
        <w:overflowPunct w:val="0"/>
        <w:autoSpaceDE w:val="0"/>
        <w:jc w:val="both"/>
        <w:rPr>
          <w:szCs w:val="20"/>
        </w:rPr>
      </w:pPr>
      <w:r w:rsidRPr="000E44ED">
        <w:rPr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0E44ED">
        <w:rPr>
          <w:sz w:val="28"/>
          <w:szCs w:val="28"/>
        </w:rPr>
        <w:t>постановлением Администрации Тарасовского сельского поселения от 23.11.2018 № 168 «Об утверждении Порядка разработки, реализации и оценки эффективности муниципальных программ Тарасовского сельского поселения», в связи с необходимостью корректировки объемов финансирования отдельных программных мероприятий</w:t>
      </w: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E44ED">
        <w:rPr>
          <w:sz w:val="28"/>
          <w:szCs w:val="28"/>
        </w:rPr>
        <w:t>ПОСТАНОВЛЯЮ:</w:t>
      </w:r>
    </w:p>
    <w:p w:rsidR="000E44ED" w:rsidRPr="000E44ED" w:rsidRDefault="000E44ED" w:rsidP="000E44ED">
      <w:pPr>
        <w:overflowPunct w:val="0"/>
        <w:autoSpaceDE w:val="0"/>
        <w:ind w:firstLine="709"/>
        <w:jc w:val="both"/>
        <w:rPr>
          <w:sz w:val="28"/>
          <w:szCs w:val="28"/>
        </w:rPr>
      </w:pPr>
    </w:p>
    <w:p w:rsidR="000E44ED" w:rsidRPr="000E44ED" w:rsidRDefault="000E44ED" w:rsidP="000E44ED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 xml:space="preserve">Внести в постановление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порядкаи профилактика правонарушений»» </w:t>
      </w:r>
      <w:r w:rsidRPr="000E44ED">
        <w:rPr>
          <w:kern w:val="2"/>
          <w:sz w:val="28"/>
          <w:szCs w:val="28"/>
        </w:rPr>
        <w:t>следующие изменения: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ind w:left="0" w:firstLine="426"/>
        <w:contextualSpacing/>
        <w:jc w:val="both"/>
        <w:rPr>
          <w:kern w:val="2"/>
          <w:sz w:val="28"/>
          <w:szCs w:val="28"/>
          <w:lang w:eastAsia="ru-RU"/>
        </w:rPr>
      </w:pPr>
      <w:r w:rsidRPr="000E44ED">
        <w:rPr>
          <w:kern w:val="2"/>
          <w:sz w:val="28"/>
          <w:szCs w:val="28"/>
          <w:lang w:eastAsia="ru-RU"/>
        </w:rPr>
        <w:t xml:space="preserve">В приложение №1 к </w:t>
      </w:r>
      <w:r w:rsidRPr="000E44ED">
        <w:rPr>
          <w:sz w:val="28"/>
          <w:szCs w:val="28"/>
          <w:lang w:eastAsia="ru-RU"/>
        </w:rPr>
        <w:t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правонарушений»»</w:t>
      </w:r>
      <w:r w:rsidRPr="000E44ED">
        <w:rPr>
          <w:kern w:val="2"/>
          <w:sz w:val="28"/>
          <w:szCs w:val="28"/>
          <w:lang w:eastAsia="ru-RU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7"/>
        <w:gridCol w:w="6524"/>
      </w:tblGrid>
      <w:tr w:rsidR="000E44ED" w:rsidRPr="000E44ED" w:rsidTr="00490926">
        <w:tc>
          <w:tcPr>
            <w:tcW w:w="3047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«Ресурсное обеспечение программы</w:t>
            </w:r>
          </w:p>
        </w:tc>
        <w:tc>
          <w:tcPr>
            <w:tcW w:w="6524" w:type="dxa"/>
            <w:shd w:val="clear" w:color="auto" w:fill="auto"/>
          </w:tcPr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 xml:space="preserve">Объем ассигнований местного бюджета на 2019-2030 годы – </w:t>
            </w:r>
            <w:r w:rsidR="00D138C0">
              <w:rPr>
                <w:sz w:val="28"/>
                <w:szCs w:val="28"/>
                <w:lang w:eastAsia="ru-RU"/>
              </w:rPr>
              <w:t>2</w:t>
            </w:r>
            <w:r w:rsidR="0062600E">
              <w:rPr>
                <w:sz w:val="28"/>
                <w:szCs w:val="28"/>
                <w:lang w:eastAsia="ru-RU"/>
              </w:rPr>
              <w:t>04</w:t>
            </w:r>
            <w:r w:rsidR="00D138C0">
              <w:rPr>
                <w:sz w:val="28"/>
                <w:szCs w:val="28"/>
                <w:lang w:eastAsia="ru-RU"/>
              </w:rPr>
              <w:t>,</w:t>
            </w:r>
            <w:r w:rsidR="0062600E">
              <w:rPr>
                <w:sz w:val="28"/>
                <w:szCs w:val="28"/>
                <w:lang w:eastAsia="ru-RU"/>
              </w:rPr>
              <w:t>1</w:t>
            </w:r>
            <w:r w:rsidRPr="000E44ED">
              <w:rPr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0E44ED">
              <w:rPr>
                <w:kern w:val="2"/>
                <w:sz w:val="28"/>
                <w:szCs w:val="28"/>
              </w:rPr>
              <w:t>в 2019 году – 19.8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</w:rPr>
              <w:t xml:space="preserve">в 2020 году – </w:t>
            </w:r>
            <w:r w:rsidR="00D138C0">
              <w:rPr>
                <w:kern w:val="2"/>
                <w:sz w:val="28"/>
                <w:szCs w:val="28"/>
              </w:rPr>
              <w:t>1,8</w:t>
            </w:r>
            <w:r w:rsidRPr="000E44E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Pr="000E44ED">
              <w:rPr>
                <w:kern w:val="2"/>
                <w:sz w:val="28"/>
                <w:szCs w:val="28"/>
              </w:rPr>
              <w:t>2,</w:t>
            </w:r>
            <w:r w:rsidR="0062600E">
              <w:rPr>
                <w:kern w:val="2"/>
                <w:sz w:val="28"/>
                <w:szCs w:val="28"/>
              </w:rPr>
              <w:t>5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2022 году </w:t>
            </w:r>
            <w:r w:rsidRPr="000E44ED">
              <w:rPr>
                <w:kern w:val="2"/>
                <w:sz w:val="28"/>
                <w:szCs w:val="28"/>
              </w:rPr>
              <w:t>– 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в 2023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Pr="000E44ED">
              <w:rPr>
                <w:kern w:val="2"/>
                <w:sz w:val="28"/>
                <w:szCs w:val="28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spacing w:line="252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Pr="000E44ED">
              <w:rPr>
                <w:kern w:val="2"/>
                <w:sz w:val="28"/>
                <w:szCs w:val="28"/>
              </w:rPr>
              <w:t>20,0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Pr="000E44ED">
              <w:rPr>
                <w:kern w:val="2"/>
                <w:sz w:val="28"/>
                <w:szCs w:val="28"/>
                <w:lang w:eastAsia="ru-RU"/>
              </w:rPr>
              <w:t xml:space="preserve">20,0 </w:t>
            </w:r>
            <w:r w:rsidRPr="000E44ED">
              <w:rPr>
                <w:kern w:val="2"/>
                <w:sz w:val="28"/>
                <w:szCs w:val="28"/>
                <w:lang w:eastAsia="en-US"/>
              </w:rPr>
              <w:t>тыс. рублей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федерального бюджета программы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2019-2030 годы - 0,0тыс. рублей;</w:t>
            </w:r>
          </w:p>
          <w:p w:rsidR="000E44ED" w:rsidRPr="000E44ED" w:rsidRDefault="000E44ED" w:rsidP="000E44E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Объем ассигнований областного бюджета программы</w:t>
            </w:r>
          </w:p>
          <w:p w:rsidR="000E44ED" w:rsidRPr="000E44ED" w:rsidRDefault="000E44ED" w:rsidP="000E44ED">
            <w:pPr>
              <w:widowControl w:val="0"/>
              <w:numPr>
                <w:ilvl w:val="1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E44ED">
              <w:rPr>
                <w:sz w:val="28"/>
                <w:szCs w:val="28"/>
                <w:lang w:eastAsia="ru-RU"/>
              </w:rPr>
              <w:t>годы  - 0,0тыс. рублей»</w:t>
            </w:r>
          </w:p>
        </w:tc>
      </w:tr>
    </w:tbl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caps/>
          <w:kern w:val="2"/>
          <w:lang w:eastAsia="ru-RU"/>
        </w:rPr>
      </w:pPr>
      <w:bookmarkStart w:id="0" w:name="_Hlk27051354"/>
      <w:r w:rsidRPr="000E44ED">
        <w:rPr>
          <w:kern w:val="2"/>
          <w:sz w:val="28"/>
          <w:szCs w:val="28"/>
          <w:lang w:eastAsia="ru-RU"/>
        </w:rPr>
        <w:lastRenderedPageBreak/>
        <w:t xml:space="preserve">В приложение №1 к </w:t>
      </w:r>
      <w:r w:rsidRPr="000E44ED">
        <w:rPr>
          <w:sz w:val="28"/>
          <w:szCs w:val="28"/>
          <w:lang w:eastAsia="ru-RU"/>
        </w:rPr>
        <w:t xml:space="preserve">постановлению Администрации Тарасовского сельского поселения от 10.12.2018 г. № 173 «Об утверждении муниципальной программы Тарасовского сельского поселения «Обеспечение общественного порядка и профилактика правонарушений» раздел </w:t>
      </w:r>
      <w:r w:rsidRPr="000E44ED">
        <w:rPr>
          <w:caps/>
          <w:kern w:val="2"/>
          <w:lang w:eastAsia="ru-RU"/>
        </w:rPr>
        <w:t xml:space="preserve">«РАСХОДЫ 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правонарушений»»изложить в редакции:</w:t>
      </w:r>
    </w:p>
    <w:p w:rsidR="000E44ED" w:rsidRPr="000E44ED" w:rsidRDefault="000E44ED" w:rsidP="000E44ED">
      <w:pPr>
        <w:numPr>
          <w:ilvl w:val="1"/>
          <w:numId w:val="4"/>
        </w:numPr>
        <w:suppressAutoHyphens w:val="0"/>
        <w:overflowPunct w:val="0"/>
        <w:autoSpaceDE w:val="0"/>
        <w:ind w:left="-142" w:firstLine="568"/>
        <w:contextualSpacing/>
        <w:rPr>
          <w:sz w:val="28"/>
          <w:szCs w:val="28"/>
          <w:lang w:eastAsia="ru-RU"/>
        </w:rPr>
        <w:sectPr w:rsidR="000E44ED" w:rsidRPr="000E44ED" w:rsidSect="00396E37">
          <w:pgSz w:w="11906" w:h="16838"/>
          <w:pgMar w:top="709" w:right="851" w:bottom="1134" w:left="1304" w:header="708" w:footer="708" w:gutter="0"/>
          <w:cols w:space="708"/>
          <w:docGrid w:linePitch="360"/>
        </w:sectPr>
      </w:pPr>
    </w:p>
    <w:p w:rsidR="000E44ED" w:rsidRPr="000E44ED" w:rsidRDefault="000E44ED" w:rsidP="000E44ED">
      <w:pPr>
        <w:suppressAutoHyphens w:val="0"/>
        <w:ind w:left="426"/>
        <w:contextualSpacing/>
        <w:jc w:val="center"/>
        <w:rPr>
          <w:caps/>
          <w:kern w:val="2"/>
          <w:lang w:eastAsia="ru-RU"/>
        </w:rPr>
      </w:pPr>
      <w:r w:rsidRPr="000E44ED">
        <w:rPr>
          <w:sz w:val="28"/>
          <w:szCs w:val="28"/>
          <w:lang w:eastAsia="ru-RU"/>
        </w:rPr>
        <w:lastRenderedPageBreak/>
        <w:t>«</w:t>
      </w:r>
      <w:r w:rsidRPr="000E44ED">
        <w:rPr>
          <w:caps/>
          <w:kern w:val="2"/>
          <w:lang w:eastAsia="ru-RU"/>
        </w:rPr>
        <w:t>Расходы</w:t>
      </w:r>
      <w:r w:rsidRPr="000E44ED">
        <w:rPr>
          <w:kern w:val="2"/>
          <w:sz w:val="28"/>
          <w:szCs w:val="28"/>
          <w:lang w:eastAsia="ru-RU"/>
        </w:rPr>
        <w:t>на реализацию муниципальной программы Администрации Тарасовского сельского поселения «Обеспечение общественного порядка и профилактика правонарушений</w:t>
      </w:r>
    </w:p>
    <w:p w:rsidR="000E44ED" w:rsidRPr="000E44ED" w:rsidRDefault="000E44ED" w:rsidP="000E44ED">
      <w:pPr>
        <w:suppressAutoHyphens w:val="0"/>
        <w:overflowPunct w:val="0"/>
        <w:autoSpaceDE w:val="0"/>
        <w:ind w:left="-142" w:firstLine="568"/>
        <w:jc w:val="center"/>
        <w:rPr>
          <w:caps/>
          <w:kern w:val="2"/>
          <w:szCs w:val="20"/>
        </w:rPr>
      </w:pPr>
    </w:p>
    <w:tbl>
      <w:tblPr>
        <w:tblW w:w="495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045"/>
        <w:gridCol w:w="6"/>
        <w:gridCol w:w="1834"/>
        <w:gridCol w:w="1211"/>
        <w:gridCol w:w="944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  <w:gridCol w:w="811"/>
        <w:gridCol w:w="812"/>
      </w:tblGrid>
      <w:tr w:rsidR="000E44ED" w:rsidRPr="000E44ED" w:rsidTr="00490926">
        <w:trPr>
          <w:tblHeader/>
        </w:trPr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Наименование муниципальной программы, номер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Источник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финансирования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Объем расходов, всего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9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муниципальной программы (тыс. рублей)</w:t>
            </w:r>
          </w:p>
        </w:tc>
      </w:tr>
      <w:tr w:rsidR="000E44ED" w:rsidRPr="000E44ED" w:rsidTr="00490926">
        <w:trPr>
          <w:tblHeader/>
        </w:trPr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2019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2026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2027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2028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2029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E44ED" w:rsidRPr="000E44ED" w:rsidTr="00490926">
        <w:trPr>
          <w:tblHeader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E44ED" w:rsidRPr="000E44ED" w:rsidTr="00490926"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0E44ED">
              <w:rPr>
                <w:kern w:val="2"/>
              </w:rPr>
              <w:t>Администрации Тарасовского сельского поселения</w:t>
            </w:r>
            <w:r w:rsidRPr="000E44ED">
              <w:rPr>
                <w:kern w:val="2"/>
                <w:sz w:val="22"/>
                <w:szCs w:val="22"/>
                <w:lang w:eastAsia="en-US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B83FC6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204,1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B83FC6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</w:t>
            </w:r>
            <w:r w:rsidR="00B83FC6">
              <w:rPr>
                <w:spacing w:val="-12"/>
                <w:kern w:val="2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</w:pPr>
            <w:r w:rsidRPr="000E44ED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0E44ED" w:rsidRPr="000E44ED" w:rsidTr="00490926"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kern w:val="2"/>
                <w:lang w:eastAsia="en-US"/>
              </w:rPr>
            </w:pPr>
            <w:r w:rsidRPr="000E44ED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4ED" w:rsidRPr="000E44ED" w:rsidRDefault="00B83FC6" w:rsidP="000E44ED">
            <w:pPr>
              <w:suppressAutoHyphens w:val="0"/>
              <w:overflowPunct w:val="0"/>
              <w:autoSpaceDE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204,1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D138C0" w:rsidP="000E44ED">
            <w:pPr>
              <w:suppressAutoHyphens w:val="0"/>
              <w:overflowPunct w:val="0"/>
              <w:autoSpaceDE w:val="0"/>
              <w:jc w:val="center"/>
              <w:rPr>
                <w:spacing w:val="-12"/>
                <w:kern w:val="2"/>
                <w:lang w:eastAsia="en-US"/>
              </w:rPr>
            </w:pPr>
            <w:r>
              <w:rPr>
                <w:spacing w:val="-12"/>
                <w:kern w:val="2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B83FC6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</w:t>
            </w:r>
            <w:r w:rsidR="00B83FC6">
              <w:rPr>
                <w:spacing w:val="-12"/>
                <w:kern w:val="2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zCs w:val="20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  <w:r w:rsidRPr="000E44ED">
              <w:rPr>
                <w:spacing w:val="-12"/>
                <w:kern w:val="2"/>
                <w:sz w:val="22"/>
                <w:szCs w:val="22"/>
                <w:lang w:eastAsia="en-US"/>
              </w:rPr>
              <w:t>20,0</w:t>
            </w: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0E44ED">
            <w:pPr>
              <w:suppressAutoHyphens w:val="0"/>
              <w:overflowPunct w:val="0"/>
              <w:autoSpaceDE w:val="0"/>
              <w:rPr>
                <w:spacing w:val="-12"/>
                <w:kern w:val="2"/>
                <w:lang w:eastAsia="en-US"/>
              </w:rPr>
            </w:pPr>
          </w:p>
          <w:p w:rsidR="000E44ED" w:rsidRPr="000E44ED" w:rsidRDefault="000E44ED" w:rsidP="00767DA5">
            <w:pPr>
              <w:suppressAutoHyphens w:val="0"/>
              <w:overflowPunct w:val="0"/>
              <w:autoSpaceDE w:val="0"/>
              <w:rPr>
                <w:szCs w:val="20"/>
              </w:rPr>
            </w:pPr>
          </w:p>
        </w:tc>
      </w:tr>
    </w:tbl>
    <w:p w:rsidR="000E44ED" w:rsidRPr="000E44ED" w:rsidRDefault="000E44ED" w:rsidP="000E44ED">
      <w:pPr>
        <w:suppressAutoHyphens w:val="0"/>
        <w:ind w:left="1146"/>
        <w:contextualSpacing/>
        <w:rPr>
          <w:sz w:val="28"/>
          <w:szCs w:val="28"/>
          <w:lang w:eastAsia="ru-RU"/>
        </w:rPr>
        <w:sectPr w:rsidR="000E44ED" w:rsidRPr="000E44ED" w:rsidSect="001C0A80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bookmarkEnd w:id="0"/>
    <w:p w:rsidR="000E44ED" w:rsidRPr="000E44ED" w:rsidRDefault="000E44ED" w:rsidP="000E44ED">
      <w:pPr>
        <w:suppressAutoHyphens w:val="0"/>
        <w:autoSpaceDN w:val="0"/>
        <w:adjustRightInd w:val="0"/>
        <w:ind w:left="1146"/>
        <w:contextualSpacing/>
        <w:jc w:val="both"/>
        <w:rPr>
          <w:sz w:val="28"/>
          <w:szCs w:val="28"/>
          <w:lang w:eastAsia="ru-RU"/>
        </w:rPr>
      </w:pPr>
    </w:p>
    <w:p w:rsidR="000E44ED" w:rsidRPr="000E44ED" w:rsidRDefault="000E44ED" w:rsidP="000E44ED">
      <w:pPr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 xml:space="preserve">. Настоящее постановление вступает в силу со дня его официального опубликования, но не ранее 1 </w:t>
      </w:r>
      <w:r w:rsidR="00B83FC6">
        <w:rPr>
          <w:kern w:val="2"/>
          <w:sz w:val="28"/>
          <w:szCs w:val="28"/>
        </w:rPr>
        <w:t>февраля</w:t>
      </w:r>
      <w:r w:rsidRPr="000E44ED">
        <w:rPr>
          <w:kern w:val="2"/>
          <w:sz w:val="28"/>
          <w:szCs w:val="28"/>
        </w:rPr>
        <w:t xml:space="preserve"> 202</w:t>
      </w:r>
      <w:r w:rsidR="00B83FC6">
        <w:rPr>
          <w:kern w:val="2"/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 xml:space="preserve"> года, и применяется к правоотношениям, возникающим при составлении проекта </w:t>
      </w:r>
      <w:r w:rsidRPr="000E44ED">
        <w:rPr>
          <w:sz w:val="28"/>
          <w:szCs w:val="28"/>
        </w:rPr>
        <w:t>Администрации Тарасовского сельского поселения</w:t>
      </w:r>
      <w:r w:rsidRPr="000E44ED">
        <w:rPr>
          <w:kern w:val="2"/>
          <w:sz w:val="28"/>
          <w:szCs w:val="28"/>
        </w:rPr>
        <w:t xml:space="preserve"> бюджета на 202</w:t>
      </w:r>
      <w:r w:rsidR="00B83FC6">
        <w:rPr>
          <w:kern w:val="2"/>
          <w:sz w:val="28"/>
          <w:szCs w:val="28"/>
        </w:rPr>
        <w:t>2</w:t>
      </w:r>
      <w:r w:rsidRPr="000E44ED">
        <w:rPr>
          <w:kern w:val="2"/>
          <w:sz w:val="28"/>
          <w:szCs w:val="28"/>
        </w:rPr>
        <w:t xml:space="preserve"> год и на плановый период 202</w:t>
      </w:r>
      <w:r w:rsidR="00B83FC6">
        <w:rPr>
          <w:kern w:val="2"/>
          <w:sz w:val="28"/>
          <w:szCs w:val="28"/>
        </w:rPr>
        <w:t>3</w:t>
      </w:r>
      <w:r w:rsidRPr="000E44ED">
        <w:rPr>
          <w:kern w:val="2"/>
          <w:sz w:val="28"/>
          <w:szCs w:val="28"/>
        </w:rPr>
        <w:t xml:space="preserve"> и 202</w:t>
      </w:r>
      <w:r w:rsidR="00B83FC6">
        <w:rPr>
          <w:kern w:val="2"/>
          <w:sz w:val="28"/>
          <w:szCs w:val="28"/>
        </w:rPr>
        <w:t>4</w:t>
      </w:r>
      <w:r w:rsidRPr="000E44ED">
        <w:rPr>
          <w:kern w:val="2"/>
          <w:sz w:val="28"/>
          <w:szCs w:val="28"/>
        </w:rPr>
        <w:t xml:space="preserve"> годов.</w:t>
      </w:r>
    </w:p>
    <w:p w:rsidR="000E44ED" w:rsidRPr="000E44ED" w:rsidRDefault="000E44ED" w:rsidP="000E44ED">
      <w:p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E44ED">
        <w:rPr>
          <w:kern w:val="2"/>
          <w:sz w:val="28"/>
          <w:szCs w:val="28"/>
        </w:rPr>
        <w:t>3. Контроль за выполнением постановления оставляю за собой.</w:t>
      </w: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0E44ED" w:rsidRPr="000E44ED" w:rsidRDefault="000E44ED" w:rsidP="000E44ED">
      <w:pPr>
        <w:overflowPunct w:val="0"/>
        <w:autoSpaceDE w:val="0"/>
        <w:jc w:val="right"/>
        <w:rPr>
          <w:sz w:val="28"/>
          <w:szCs w:val="28"/>
        </w:rPr>
      </w:pPr>
    </w:p>
    <w:p w:rsidR="00CC6C46" w:rsidRPr="00CC6C46" w:rsidRDefault="00CC6C46" w:rsidP="00CC6C46">
      <w:pPr>
        <w:spacing w:line="276" w:lineRule="auto"/>
        <w:rPr>
          <w:sz w:val="28"/>
          <w:szCs w:val="28"/>
        </w:rPr>
      </w:pPr>
      <w:r w:rsidRPr="00CC6C46">
        <w:rPr>
          <w:sz w:val="28"/>
          <w:szCs w:val="28"/>
        </w:rPr>
        <w:t xml:space="preserve">И.о. Главы Администрации </w:t>
      </w:r>
    </w:p>
    <w:p w:rsidR="00CC6C46" w:rsidRPr="00CC6C46" w:rsidRDefault="00CC6C46" w:rsidP="00CC6C46">
      <w:pPr>
        <w:spacing w:line="276" w:lineRule="auto"/>
        <w:rPr>
          <w:sz w:val="28"/>
          <w:szCs w:val="28"/>
        </w:rPr>
      </w:pPr>
      <w:r w:rsidRPr="00CC6C46">
        <w:rPr>
          <w:sz w:val="28"/>
          <w:szCs w:val="28"/>
        </w:rPr>
        <w:t xml:space="preserve">Тарасовского сельского поселения                                                      </w:t>
      </w:r>
      <w:bookmarkStart w:id="1" w:name="_GoBack"/>
      <w:bookmarkEnd w:id="1"/>
      <w:r w:rsidRPr="00CC6C46">
        <w:rPr>
          <w:sz w:val="28"/>
          <w:szCs w:val="28"/>
        </w:rPr>
        <w:t>А.П.Заикин</w:t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6D3D57" w:rsidRDefault="006D3D57"/>
    <w:sectPr w:rsidR="006D3D57" w:rsidSect="006D3D57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2383B"/>
    <w:multiLevelType w:val="multilevel"/>
    <w:tmpl w:val="94CE1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6F063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6426C6D"/>
    <w:multiLevelType w:val="multilevel"/>
    <w:tmpl w:val="A172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5DF8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81A38"/>
    <w:multiLevelType w:val="multilevel"/>
    <w:tmpl w:val="3D9049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E922FA6"/>
    <w:multiLevelType w:val="multilevel"/>
    <w:tmpl w:val="6FEC49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C5943BA"/>
    <w:multiLevelType w:val="multilevel"/>
    <w:tmpl w:val="FACE5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1DE1"/>
    <w:rsid w:val="0004007B"/>
    <w:rsid w:val="00046CAF"/>
    <w:rsid w:val="000E44ED"/>
    <w:rsid w:val="000E68AC"/>
    <w:rsid w:val="001017B2"/>
    <w:rsid w:val="00140786"/>
    <w:rsid w:val="00143D15"/>
    <w:rsid w:val="001A7C16"/>
    <w:rsid w:val="001B15EA"/>
    <w:rsid w:val="001B4538"/>
    <w:rsid w:val="002306B2"/>
    <w:rsid w:val="00254982"/>
    <w:rsid w:val="00270C03"/>
    <w:rsid w:val="0027301E"/>
    <w:rsid w:val="00280E7C"/>
    <w:rsid w:val="002C76AD"/>
    <w:rsid w:val="002F0551"/>
    <w:rsid w:val="00302C67"/>
    <w:rsid w:val="00331D27"/>
    <w:rsid w:val="0035304A"/>
    <w:rsid w:val="00357730"/>
    <w:rsid w:val="003711EE"/>
    <w:rsid w:val="0037130A"/>
    <w:rsid w:val="003723A2"/>
    <w:rsid w:val="003C5F24"/>
    <w:rsid w:val="00402A60"/>
    <w:rsid w:val="00407EDF"/>
    <w:rsid w:val="00417ACF"/>
    <w:rsid w:val="0042726B"/>
    <w:rsid w:val="004B6B26"/>
    <w:rsid w:val="004C4248"/>
    <w:rsid w:val="004F05AF"/>
    <w:rsid w:val="00501B5D"/>
    <w:rsid w:val="00505B03"/>
    <w:rsid w:val="005800FF"/>
    <w:rsid w:val="00581ED2"/>
    <w:rsid w:val="006143AE"/>
    <w:rsid w:val="0062600E"/>
    <w:rsid w:val="0069456C"/>
    <w:rsid w:val="006A132D"/>
    <w:rsid w:val="006D3D57"/>
    <w:rsid w:val="006F718C"/>
    <w:rsid w:val="00767DA5"/>
    <w:rsid w:val="007A5951"/>
    <w:rsid w:val="007C1F86"/>
    <w:rsid w:val="007C4D7D"/>
    <w:rsid w:val="0081503C"/>
    <w:rsid w:val="0082417D"/>
    <w:rsid w:val="00863612"/>
    <w:rsid w:val="008652C2"/>
    <w:rsid w:val="00944E4C"/>
    <w:rsid w:val="00966CB8"/>
    <w:rsid w:val="0099044B"/>
    <w:rsid w:val="00991BBD"/>
    <w:rsid w:val="009B721A"/>
    <w:rsid w:val="009D4C54"/>
    <w:rsid w:val="009F3620"/>
    <w:rsid w:val="00A05BAF"/>
    <w:rsid w:val="00A4026F"/>
    <w:rsid w:val="00A47C8E"/>
    <w:rsid w:val="00AC52C0"/>
    <w:rsid w:val="00AE40BD"/>
    <w:rsid w:val="00B52B1D"/>
    <w:rsid w:val="00B7545D"/>
    <w:rsid w:val="00B7632E"/>
    <w:rsid w:val="00B83FC6"/>
    <w:rsid w:val="00BB3796"/>
    <w:rsid w:val="00C140C7"/>
    <w:rsid w:val="00C31631"/>
    <w:rsid w:val="00C7419E"/>
    <w:rsid w:val="00C93B09"/>
    <w:rsid w:val="00CB32FE"/>
    <w:rsid w:val="00CC63CA"/>
    <w:rsid w:val="00CC6C46"/>
    <w:rsid w:val="00CC7CBF"/>
    <w:rsid w:val="00D138C0"/>
    <w:rsid w:val="00D20AD7"/>
    <w:rsid w:val="00D51DE1"/>
    <w:rsid w:val="00D61088"/>
    <w:rsid w:val="00D85E02"/>
    <w:rsid w:val="00DA2160"/>
    <w:rsid w:val="00DD68E5"/>
    <w:rsid w:val="00E203BA"/>
    <w:rsid w:val="00E67ACB"/>
    <w:rsid w:val="00EB708F"/>
    <w:rsid w:val="00EC7013"/>
    <w:rsid w:val="00ED6986"/>
    <w:rsid w:val="00F371AE"/>
    <w:rsid w:val="00F72797"/>
    <w:rsid w:val="00F91761"/>
    <w:rsid w:val="00FA2889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6D3D57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2C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C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uiPriority w:val="9"/>
    <w:semiHidden/>
    <w:rsid w:val="006D3D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D3D57"/>
  </w:style>
  <w:style w:type="character" w:customStyle="1" w:styleId="ConsPlusNormal">
    <w:name w:val="ConsPlusNormal Знак"/>
    <w:link w:val="ConsPlusNormal0"/>
    <w:uiPriority w:val="99"/>
    <w:locked/>
    <w:rsid w:val="006D3D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6D3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6D3D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C6C4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C6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4313-D946-4B49-B5CF-C9EEEAC8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ADMTARSP</cp:lastModifiedBy>
  <cp:revision>49</cp:revision>
  <cp:lastPrinted>2022-03-01T07:21:00Z</cp:lastPrinted>
  <dcterms:created xsi:type="dcterms:W3CDTF">2016-03-03T10:56:00Z</dcterms:created>
  <dcterms:modified xsi:type="dcterms:W3CDTF">2022-03-02T11:57:00Z</dcterms:modified>
</cp:coreProperties>
</file>