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52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ым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участка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заявления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года,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408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Интернациональная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409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hAnsi="Times New Roman"/>
          <w:sz w:val="28"/>
          <w:szCs w:val="28"/>
          <w:lang w:eastAsia="ru-RU"/>
        </w:rPr>
        <w:t>имени Героев СВО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2" w:name="__DdeLink__78_2972185565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410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hAnsi="Times New Roman"/>
          <w:sz w:val="28"/>
          <w:szCs w:val="28"/>
          <w:lang w:eastAsia="ru-RU"/>
        </w:rPr>
        <w:t>имени Героев СВО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3" w:name="__DdeLink__78_29721855651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4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4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С. Лаврухин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LibreOffice/6.3.1.2$Windows_X86_64 LibreOffice_project/b79626edf0065ac373bd1df5c28bd630b4424273</Application>
  <Pages>2</Pages>
  <Words>267</Words>
  <Characters>2053</Characters>
  <CharactersWithSpaces>2437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2025-04-17T09:14:36Z</cp:lastPrinted>
  <dcterms:modified xsi:type="dcterms:W3CDTF">2025-04-17T09:17:51Z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